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6B" w:rsidRPr="00F35C6B" w:rsidRDefault="00F35C6B" w:rsidP="00F35C6B">
      <w:pPr>
        <w:spacing w:after="150" w:line="420" w:lineRule="atLeast"/>
        <w:outlineLvl w:val="1"/>
        <w:rPr>
          <w:rFonts w:ascii="freesetdemic" w:eastAsia="Times New Roman" w:hAnsi="freesetdemic" w:cs="Arial"/>
          <w:caps/>
          <w:color w:val="0C0C0C"/>
          <w:kern w:val="36"/>
          <w:sz w:val="32"/>
          <w:szCs w:val="32"/>
          <w:lang w:eastAsia="ru-RU"/>
        </w:rPr>
      </w:pPr>
      <w:bookmarkStart w:id="0" w:name="_GoBack"/>
      <w:r w:rsidRPr="00F35C6B">
        <w:rPr>
          <w:rFonts w:ascii="freesetdemic" w:eastAsia="Times New Roman" w:hAnsi="freesetdemic" w:cs="Arial"/>
          <w:caps/>
          <w:color w:val="0C0C0C"/>
          <w:kern w:val="36"/>
          <w:sz w:val="32"/>
          <w:szCs w:val="32"/>
          <w:lang w:eastAsia="ru-RU"/>
        </w:rPr>
        <w:t>КОМПЛАЕНС-ПРОГРАММА ПАО «КАМАЗ»</w:t>
      </w:r>
    </w:p>
    <w:bookmarkEnd w:id="0"/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b/>
          <w:bCs/>
          <w:color w:val="4A525C"/>
          <w:sz w:val="21"/>
          <w:szCs w:val="21"/>
          <w:lang w:eastAsia="ru-RU"/>
        </w:rPr>
        <w:t>I. Общие положения</w:t>
      </w: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1.1.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-программа Публичного акционерного общества «КАМАЗ» (далее – Программа) определяет инструменты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направленные на недопущение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 Публичного акционерного общества «КАМАЗ» (далее – Общество или ПАО «КАМАЗ»), а именно: рисков коррупции, мошенничества, легализации доходов, полученных преступным путем, нарушений антимонопольного законодательства.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1.2. Настоящая Программа направлена на обеспечение функционирования и развития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Общества.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1.3. Настоящая Программа разработана в соответствии с законодательством Российской Федерации, Уставом Общества,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политикой Общества и Кодексом корпоративного управления, и утверждается решением Совета директоров Общества.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1.4. Общество обязуется: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вести учет активов и операций в соответствии законодательством Российской Федерации;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поддерживать функционирование системы внутреннего контроля и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Общества;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обеспечивать согласование с исполнительными органами Общества, Советом директоров Общества, Общим собранием акционеров Общества сделок в соответствии с законодательством Российской Федерации, Уставом Общества и внутренними документами Общества.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II. Принципы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2.1. Нетерпимость к коррупции в любых проявлениях.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Общество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 Нетерпимость к коррупции означает строгий запрет для любых лиц, действующих от имени Общества или в ее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2.2. Безусловность соблюдения.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Общества, вне зависимости от занимаемой ими должности, срока работы, статуса и иных взаимоотношений с Обществом.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2.3. Неотвратимость наказания.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lastRenderedPageBreak/>
        <w:t xml:space="preserve">Общество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вне зависимости от размера и формы таких нарушений.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Общество оставляет за собой право придавать гласности информацию о лицах, привлеченных к ответственности за коррупционные действия в установленном порядке.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b/>
          <w:bCs/>
          <w:color w:val="4A525C"/>
          <w:sz w:val="21"/>
          <w:szCs w:val="21"/>
          <w:lang w:eastAsia="ru-RU"/>
        </w:rPr>
        <w:t xml:space="preserve">III. Инструменты системы </w:t>
      </w:r>
      <w:proofErr w:type="spellStart"/>
      <w:r w:rsidRPr="00F35C6B">
        <w:rPr>
          <w:rFonts w:ascii="Arial" w:eastAsia="Times New Roman" w:hAnsi="Arial" w:cs="Arial"/>
          <w:b/>
          <w:bCs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Принципы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реализуются посредством выполнения и применения в текущей деятельности Общества следующих инструментов: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3.1.  Оценка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 Общества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3.1.1. Общество реализует и обеспечивает постоянную и документально подтвержденную оценку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 Общества. Оценка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 включает в себя вероятность наступления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риска и материальность последствий от его наступления.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3.1.2. На основании оцененных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 Общества сформирована карта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рисков, являющаяся приложением к настоящей Программе, которая отражает степень подверженности подразделений и процессов Общества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рискам, а также процедуры, действующие в Обществе, направленные на снижение данных рисков.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3.1.3. Риски оцениваются исходя из вероятности наступления: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низкий – событие ранее не происходило, вероятность его наступления в будущем мала;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средний – событие ранее происходило, вероятность его наступления в будущем мала;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высокий – событие ранее происходило, вероятность его наступления в будущем относительно высокая.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3.2. Локальные нормативные акты Общества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С учетом результатов оценки и с целью снижения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 локальные нормативные акты Общества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должны: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отражать ценности Общества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и предусматривать нормы поведения для всех работников Общества;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увязывать задачи Общества с правилами и стандартами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принятыми в международном сообществе;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lastRenderedPageBreak/>
        <w:t xml:space="preserve">-  последовательно разрешать вопросы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и любые другие релевантные риски, связанные с профессиональной честностью, во всех соответствующих документах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быть понятными каждому работнику Общества;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применяться ко всем работникам Общества;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устанавливать приоритет ценности «профессиональной честности» и подробно разъяснять эту и другие ценности Общества;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содержать достаточную информацию о «горячей линии» по вопросам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содержать нормативные положения об известных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рисках;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актуализироваться при необходимости.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3.3. Обучение и оценка персонала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3.3.1. Общество внедряет процедуры оценки по стандартам пригодности, квалификации в процессе приема на работу и карьерного продвижения в соответствии с требованиями применимого законодательства и внутренними документами Общества.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3.3.2. Общество разрабатывает и внедряет программу обучения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для всех работников в зависимости от подверженности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рискам.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 В соответствии с внутренними документами Общества определяются категории работников процессов наиболее подверженных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рискам.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Обучение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проводится квалифицированными преподавателями для обеспечения понимания и принятия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политик и процедур;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периодически повторяется для донесения изменений в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политике и процедурах;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проводится с ведением учета использованных и распространенных материалов, а также списков участников;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проводится с привлечением руководителей высшего звена управления для демонстрации всем работникам их приверженности вышеуказанным ценностям.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3.4. Персонал, обеспечивающий функционирование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3.4.1. Для целей обеспечения функционирования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в Обществе действует специальное подразделение, осуществляющее функции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в подчинении генерального директора Общества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lastRenderedPageBreak/>
        <w:t xml:space="preserve">3.4.2. Подразделение, осуществляющее функции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контролирует исполнение настоящей Программы;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контролирует разработку и реализацию подразделениями Общества/организациями группы ПАО «КАМАЗ» мер по снижению рисков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обеспечивает непрерывные улучшения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контролирует устранение недостатков/нарушений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обеспечивает подготовку отчета в Совет директоров Общества об исполнении настоящей Программы.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3.4.3. Работники, выполняющие функции внутреннего контроля, предоставляют подразделению, осуществляющему функции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всю запрашиваемую информацию и документы в целях точного и аккуратного ведения учета операций и руководствуются указаниями работников подразделения, осуществляющего функции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в отношении улучшений системы внутреннего контроля Общества.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3.5. Приверженность Правления, Генерального директора вопросам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 Рассмотрение вопросов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и утверждение документов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проходят с активным участием Правления Общества и Генерального директора Общества.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Члены Правления Общества, Генеральный директор Общества и руководители высшего звена управления Общества: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соблюдают принципы справедливого и честного ведения бизнеса в соответствии с применимым законодательством;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демонстрируют полную нетерпимость к коррупции (взяточничеству, коммерческому подкупу и т.п.);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не сотрудничают с деловыми партнерами, которые не разделяют ценности Общества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3.6.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в организациях группы ПАО «КАМАЗ»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3.6.1. Инструменты реализации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являются частью единых стандартов корпоративного управления Общества, которые выступают едиными стандартами общекорпоративных правил ведения бизнеса и способствуют формированию единой корпоративной культуры группы организаций ПАО «КАМАЗ».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Общество обеспечивает   внедрение инструментов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всеми организациями группы ПАО «КАМАЗ» и осуществляет мониторинг их внедрения и развития.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lastRenderedPageBreak/>
        <w:t xml:space="preserve">Перечень инструментов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внедряемый в организациях группы ПАО «КАМАЗ», определяется исходя из достаточности мер, необходимых для снижения возможных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 с учетом видов и масштабов деятельности каждой организации.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3.6.2. Во вновь созданных организациях группы ПАО «КАМАЗ» инструменты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предусмотренные настоящей Программой, внедряются в течение года с момента создания.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В организациях, в которых планируются или осуществляются процедуры ликвидации, банкротства, реорганизации, фактически не осуществляется хозяйственная деятельность, внедряются инструменты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достаточные для снижения возможных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Общество осуществляет процедуры выхода из организаций, в которых невозможно внедрение инструментов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. С учетом экономической целесообразности Генеральным директором Общества может быть принято иное решение.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3.6.3. В организациях группы ПАО «КАМАЗ» создаются подразделения либо назначаются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-менеджеры, осуществляющие функции, предусмотренные пунктом 3.4.2 настоящей Программы.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3.6.4. Организации группы ПАО «КАМАЗ», в которых внедрены/внедряются инструменты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предусмотренные настоящей Программой, ежегодно представляют в подразделение, осуществляющее функции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отчет об исполнении настоящей Программы, который включает в себя информацию: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 ключевых зонах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 (критичные бизнес операции, возможные риски и т.д.);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 текущем статусе внедрения настоящей Программы;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 функционировании «горячей линии»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 выявленных нарушениях и проведенных расследованиях;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 необходимых корректирующих мерах;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об исполнении плана обучения работников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 необходимых изменениях/корректировках инструментов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3.6.5 Организации группы ПАО «КАМАЗ», в которых внедрены/внедряются инструменты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предусмотренные настоящей Программой, регулярно предоставляют в подразделение, осуществляющее функции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информацию о совершенных сделках с высокими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рисками.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3.7. Информирование, проверка, мониторинг деловых партнеров Общества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3.7.1. Общество информирует деловых партнеров о своей приверженности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и соблюдению законов каждой страны, в которой Общество осуществляет свою деятельность, и </w:t>
      </w: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lastRenderedPageBreak/>
        <w:t xml:space="preserve">ожидает от делового партнера аналогичной приверженности. Такие обязательства делового партнера закрепляются в договорах и соглашениях в соответствии с применимым законодательством.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Общество регулярно проводит встречи с деловыми партнерами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в рамках соответствующего плана Общества, в котором определяются целевые группы, содержание и формы встреч.  План встреч с деловыми партнерами разрабатывается в соответствии с картой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рисков. Встречи проводятся квалифицированными и опытными в вопросах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сотрудниками. Общество ведет учет участников встреч.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3.7.2. Общество проводит надлежащие, основанные на оценке рисков, проверки по каждому предполагаемому деловому партнеру. Проверка проводится до вступления в договорные отношения и периодически во время договорных отношений с деловым партнером. Проверка делового партнера включает, но не ограничивается проверкой правоспособности/дееспособности для оценки того, является ли партнер добросовестным юридическим/физическим лицом, осуществляющим свои действия на законных основаниях, платежеспособным и правомочным на осуществление соответствующей хозяйственной деятельности или на заключение соответствующих заключение сделок.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Проверка делового партнера должна проводиться с учетом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рисков, связанных с характером хозяйственной деятельности делового партнера.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Проверка делового партнера должна, как минимум учитывать и оценивать: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бизнес-модель, страну, владельца, организационную структуру и известные методы ведения бизнеса;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деловую репутацию делового партнера на основе подтвержденной информации;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квалификацию делового партнера;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структуру делового партнера;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историю деятельности делового партнера;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связь с государственными органами, организациями, должностными лицами.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Если это возможно, следует проводить личные встречи или собеседования с руководителями делового партнера, обращаясь к ним с этими вопросами.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При проверке делового партнера Общество должно: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надлежащим образом и прозрачно документировать процесс отбора делового партнера;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вести учет и обновлять базу данных деловых партнеров с использованием данных от независимых поставщиков информации;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lastRenderedPageBreak/>
        <w:t xml:space="preserve">-  непрерывно вести и хранить документы проверки делового партнера не менее 5 лет по завершению договорных отношений с ним.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По результатам проверки Общество может отказаться от договорных отношений или расторгнуть договорные отношения с деловым партнером в порядке, установленном применимым законодательством.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3.7.3. Общество на договорной основе обязывает деловых партнеров: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обеспечивать функционирование системы внутреннего контроля, мер, направленных на предотвращение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 и рисков в области этики;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вести аккуратный и детальный учет своих активов и операций, бухгалтерский учет, а также обеспечить надлежащий контроль за сделками с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рисками;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обеспечивать одобрение сделок органами управления делового партнера как того требует применимое законодательство, устав и внутренние документы делового партнера;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представлять Обществу обоснованный доступ к документам учета, в том числе в полной мере отвечать на запросы о предоставлении информации от Общества;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представлять Обществу возможность осуществлять периодический аудит своей бухгалтерской (финансовой) отчетности в части сделок с Обществом с учетом требований применимого законодательства.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3.7.4. Общество обеспечивает функционирование надлежащей, основанной на оценке рисков письменной процедуры отклонения от требований пункта 3.7.3 настоящей Программы при определенных обстоятельствах, которые являются обоснованием такого отклонения.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3.8. «Горячая линия»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и расследования по заявлениям о возможном нарушении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3.8.1. Общество обеспечивает функционирование «горячей линии»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рассмотрение поступивших по «горячей линии» предложений по улучшению антикоррупционных процедур, процедур внутреннего контроля, а также проведение расследований по поступившим по «горячей линии» заявлениям о возможных нарушениях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и этики.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3.8.2. «Горячая линия»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должна: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быть доступна для работников Общества и организаций группы ПАО «КАМАЗ» и третьих лиц, как минимум, посредством письменных обращений, электронной почты и телефонной связи;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гарантировать конфиденциальность и анонимность.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3.8.3. Информация, полученная по «горячей линии», должна непрерывно фиксироваться и своевременно передаваться для проведения расследований.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lastRenderedPageBreak/>
        <w:t xml:space="preserve">3.8.4. Информация о «горячей линии»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должна доводиться до работников Общества и работников группы организаций ПАО «КАМАЗ» в рамках обучения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и/или в иной другой подходящей форме. Информация о «горячей линии» по вопросам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публикуется на официальном сайте Общества </w:t>
      </w:r>
      <w:hyperlink r:id="rId4" w:history="1">
        <w:r w:rsidRPr="00F35C6B">
          <w:rPr>
            <w:rFonts w:ascii="Arial" w:eastAsia="Times New Roman" w:hAnsi="Arial" w:cs="Arial"/>
            <w:color w:val="90A1B5"/>
            <w:sz w:val="21"/>
            <w:szCs w:val="21"/>
            <w:u w:val="single"/>
            <w:lang w:eastAsia="ru-RU"/>
          </w:rPr>
          <w:t>www.kamaz.ru</w:t>
        </w:r>
      </w:hyperlink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3.8.5. Общество незамедлительно и эффективно проводит расследования по любому заявлению о возможном нарушении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поступившему на «горячую линию».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3.8.6. Лицам, проводящим расследования по заявлениям о возможном нарушении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Общество обеспечивает условия, которые обеспечивают возможность: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в полном объеме расследовать любые вопросы, относящиеся к предмету расследования;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доступа к документам (на электронном или бумажном носителе) и работникам, обладающим сведениями, относящимися к расследованию;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использования информации, предоставленной для проведения расследования, с учетом требованиям применимого законодательства и внутренних документов Общества в отношении конфиденциальной информации.  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3.8.7. Лица, проводящие расследования по заявлениям о возможном нарушении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обязаны вести в надлежащей форме учет процесса расследования и его результатов.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3.8.8. Общество в рамках применимого законодательства обеспечивает возможность привлечения к ответственности работников, совершивших нарушение в области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3.9. Контроль со стороны Совета директоров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3.9.1. Общество ежегодно предоставляет Совету директоров Общества отчет об исполнении настоящей Программы, включающий: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текущий статус исполнения настоящей Программы;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информацию об этике и законности в Обществе;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информацию о необходимых корректирующих действиях;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ключевые зоны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 на основе карты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информация о необходимости внедрения новых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мер, а также необходимых изменений/корректировок соответствующих политик и процедур;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  иную информацию, необходимую для Совета директоров Общества.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3.9.2. Отчет об исполнении настоящей Программы подлежит предварительному рассмотрению Комитетом Совета директоров Общества по бюджету и аудиту.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lastRenderedPageBreak/>
        <w:t xml:space="preserve">3.10. Аудит эффективности функционирования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3.10.1. Проверки эффективности функционирования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осуществляются подразделением Общества, осуществляющим внутренний аудит в рамках проверки функционирования системы внутреннего контроля Общества. По итогам проверок подразделение, осуществляющее внутренний аудит, формирует рекомендации, в том числе направленные на снижение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рисков.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3.10.2. Подразделение Общества, осуществляющее внутренний аудит, ежеквартально предоставляет Комитету Совета директоров Общества по бюджету и аудиту отчет о проведенных проверках эффективности функционирования системы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 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b/>
          <w:bCs/>
          <w:color w:val="4A525C"/>
          <w:sz w:val="21"/>
          <w:szCs w:val="21"/>
          <w:lang w:eastAsia="ru-RU"/>
        </w:rPr>
        <w:t>IV. Действие Программы. Порядок внесения изменений и дополнений в Программу</w:t>
      </w: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4.1. Изменения и дополнения в настоящую Программу могут быть внесены по решению Совета директоров Общества. </w:t>
      </w:r>
    </w:p>
    <w:p w:rsidR="00F35C6B" w:rsidRPr="00F35C6B" w:rsidRDefault="00F35C6B" w:rsidP="00F35C6B">
      <w:pPr>
        <w:spacing w:before="100" w:beforeAutospacing="1" w:after="300" w:line="300" w:lineRule="atLeas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4.2. Совет директоров Общества может прекратить действие настоящей Программы и принять новую </w:t>
      </w:r>
      <w:proofErr w:type="spellStart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Комплаенс</w:t>
      </w:r>
      <w:proofErr w:type="spellEnd"/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-программу Общества. </w:t>
      </w:r>
    </w:p>
    <w:p w:rsidR="00F35C6B" w:rsidRPr="00F35C6B" w:rsidRDefault="00F35C6B" w:rsidP="00F35C6B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4.3. В случае противоречия норм законодательства Российской Федерации и настоящей Программы применяются нормы действующего законодательства Российской Федерации. </w:t>
      </w:r>
    </w:p>
    <w:p w:rsidR="00F35C6B" w:rsidRPr="00F35C6B" w:rsidRDefault="00F35C6B" w:rsidP="00F35C6B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  </w:t>
      </w:r>
    </w:p>
    <w:p w:rsidR="00F35C6B" w:rsidRPr="00F35C6B" w:rsidRDefault="00F35C6B" w:rsidP="00F35C6B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</w:p>
    <w:p w:rsidR="00F35C6B" w:rsidRPr="00F35C6B" w:rsidRDefault="00F35C6B" w:rsidP="00F35C6B">
      <w:pPr>
        <w:spacing w:before="100" w:beforeAutospacing="1" w:after="300" w:line="300" w:lineRule="atLeast"/>
        <w:jc w:val="right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F35C6B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УТВЕРЖДЕНА решением Совета директоров ПАО «КАМАЗ» от 20.03.2019 </w:t>
      </w:r>
    </w:p>
    <w:p w:rsidR="00F35C6B" w:rsidRPr="00F35C6B" w:rsidRDefault="00F35C6B" w:rsidP="00F35C6B">
      <w:pPr>
        <w:spacing w:line="285" w:lineRule="atLeast"/>
        <w:jc w:val="right"/>
        <w:rPr>
          <w:rFonts w:ascii="Arial" w:eastAsia="Times New Roman" w:hAnsi="Arial" w:cs="Arial"/>
          <w:color w:val="504F4F"/>
          <w:sz w:val="21"/>
          <w:szCs w:val="21"/>
          <w:lang w:eastAsia="ru-RU"/>
        </w:rPr>
      </w:pPr>
      <w:hyperlink r:id="rId5" w:history="1">
        <w:r w:rsidRPr="00F35C6B">
          <w:rPr>
            <w:rFonts w:ascii="Arial" w:eastAsia="Times New Roman" w:hAnsi="Arial" w:cs="Arial"/>
            <w:caps/>
            <w:color w:val="889AAF"/>
            <w:sz w:val="15"/>
            <w:szCs w:val="15"/>
            <w:u w:val="single"/>
            <w:lang w:eastAsia="ru-RU"/>
          </w:rPr>
          <w:t>Наверх</w:t>
        </w:r>
      </w:hyperlink>
      <w:r w:rsidRPr="00F35C6B">
        <w:rPr>
          <w:rFonts w:ascii="Arial" w:eastAsia="Times New Roman" w:hAnsi="Arial" w:cs="Arial"/>
          <w:color w:val="504F4F"/>
          <w:sz w:val="21"/>
          <w:szCs w:val="21"/>
          <w:lang w:eastAsia="ru-RU"/>
        </w:rPr>
        <w:t xml:space="preserve"> </w:t>
      </w:r>
    </w:p>
    <w:p w:rsidR="006A631D" w:rsidRDefault="006A631D"/>
    <w:sectPr w:rsidR="006A631D" w:rsidSect="00F35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dem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47"/>
    <w:rsid w:val="006A631D"/>
    <w:rsid w:val="00A13747"/>
    <w:rsid w:val="00F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8A56-9F7A-4F83-A5B8-D228AEF7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9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42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maz.ru/about/compliance/komplaens-programma-pao-kamaz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kamaz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46535D9E9E544BF2A6231B6DD3AAA" ma:contentTypeVersion="1" ma:contentTypeDescription="Создание документа." ma:contentTypeScope="" ma:versionID="1ad31a6657c36fe93a47e801ad0c0a59">
  <xsd:schema xmlns:xsd="http://www.w3.org/2001/XMLSchema" xmlns:xs="http://www.w3.org/2001/XMLSchema" xmlns:p="http://schemas.microsoft.com/office/2006/metadata/properties" xmlns:ns2="4a92cbf7-1019-4538-85c2-311f5cb2146c" targetNamespace="http://schemas.microsoft.com/office/2006/metadata/properties" ma:root="true" ma:fieldsID="94a3942b04aedc30ab7c3d0c00e0a740" ns2:_="">
    <xsd:import namespace="4a92cbf7-1019-4538-85c2-311f5cb2146c"/>
    <xsd:element name="properties">
      <xsd:complexType>
        <xsd:sequence>
          <xsd:element name="documentManagement">
            <xsd:complexType>
              <xsd:all>
                <xsd:element ref="ns2:_x00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2cbf7-1019-4538-85c2-311f5cb2146c" elementFormDefault="qualified">
    <xsd:import namespace="http://schemas.microsoft.com/office/2006/documentManagement/types"/>
    <xsd:import namespace="http://schemas.microsoft.com/office/infopath/2007/PartnerControls"/>
    <xsd:element name="_x0031_" ma:index="8" nillable="true" ma:displayName="1" ma:internalName="_x003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4a92cbf7-1019-4538-85c2-311f5cb2146c" xsi:nil="true"/>
  </documentManagement>
</p:properties>
</file>

<file path=customXml/itemProps1.xml><?xml version="1.0" encoding="utf-8"?>
<ds:datastoreItem xmlns:ds="http://schemas.openxmlformats.org/officeDocument/2006/customXml" ds:itemID="{6111310F-13B3-4939-B647-B8C277E8C40A}"/>
</file>

<file path=customXml/itemProps2.xml><?xml version="1.0" encoding="utf-8"?>
<ds:datastoreItem xmlns:ds="http://schemas.openxmlformats.org/officeDocument/2006/customXml" ds:itemID="{634F55C0-4C3A-47A3-95CA-CC38E48301E1}"/>
</file>

<file path=customXml/itemProps3.xml><?xml version="1.0" encoding="utf-8"?>
<ds:datastoreItem xmlns:ds="http://schemas.openxmlformats.org/officeDocument/2006/customXml" ds:itemID="{EE0C892A-650F-4138-B10E-1E3247633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Людмила Анатольевна</dc:creator>
  <cp:keywords/>
  <dc:description/>
  <cp:lastModifiedBy>Егорова Людмила Анатольевна</cp:lastModifiedBy>
  <cp:revision>2</cp:revision>
  <dcterms:created xsi:type="dcterms:W3CDTF">2019-04-24T13:52:00Z</dcterms:created>
  <dcterms:modified xsi:type="dcterms:W3CDTF">2019-04-24T13:54:00Z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0x0101004B846535D9E9E544BF2A6231B6DD3AAA</vt:lpwstr>
  </property>
</Properties>
</file>